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6">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C">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0E">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0F">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1">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de </w:t>
      </w:r>
      <w:r w:rsidDel="00000000" w:rsidR="00000000" w:rsidRPr="00000000">
        <w:rPr>
          <w:rFonts w:ascii="Arial" w:cs="Arial" w:eastAsia="Arial" w:hAnsi="Arial"/>
          <w:b w:val="1"/>
          <w:sz w:val="18"/>
          <w:szCs w:val="18"/>
          <w:rtl w:val="0"/>
        </w:rPr>
        <w:t xml:space="preserve">Apoyo a la postproducción de largometrajes y cortometrajes</w:t>
      </w:r>
      <w:r w:rsidDel="00000000" w:rsidR="00000000" w:rsidRPr="00000000">
        <w:rPr>
          <w:rFonts w:ascii="Arial" w:cs="Arial" w:eastAsia="Arial" w:hAnsi="Arial"/>
          <w:sz w:val="18"/>
          <w:szCs w:val="18"/>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2">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8">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C">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m/oQytjWnrz1hPGI9T9DuNgw==">AMUW2mXMJQn0XNNgaD3xkc8uUFEvIEeo9qy0gi0qUYS5/p7usf7jUaJ2CNntemx0n6y4NxJUDbfMm4l4QSV4WtpgbXhLH2PAf7niJtcUZzJpYVu3L3gA0r4=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